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9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1.下列文学作品和作者对应错误的一项是（）</w:t>
      </w:r>
    </w:p>
    <w:p w14:paraId="3044F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A.《儒林外史》—吴敬梓</w:t>
      </w:r>
    </w:p>
    <w:p w14:paraId="22A9E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B.《喻世明言》—冯梦龙</w:t>
      </w:r>
    </w:p>
    <w:p w14:paraId="1C0CC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C.《聊斋志异》—蒲松龄</w:t>
      </w:r>
    </w:p>
    <w:p w14:paraId="30D8F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D.《世说新语》—李复言</w:t>
      </w:r>
    </w:p>
    <w:p w14:paraId="6226A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1.D【山香讲师解析】《世说新语》又名《世说》,由刘义庆组织编纂，是中国古代志人小说集，主要记录魏晋名士的逸闻轶事和玄虚清谈，是一部记录魏晋风流的故事集。D项对应错误，本题为选非题，故选D。</w:t>
      </w:r>
    </w:p>
    <w:p w14:paraId="5B7E6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项：吴敬梓，清代文学家，其创作的《儒林外史》是我国古代讽刺文学的杰出代表，标志着我国古代讽刺小说艺术发展的新阶段。对应正确。B项：冯梦龙，明代著名文学家、戏曲家，辑有《喻世明言》《警世通言》《醒世恒言》《古今谭概》《智囊》《挂枝儿》《山歌》等。《喻世明言》乃话本小说集，与《警世通言》《醒世恒言》合称“三言”，是我国古代白话短篇小说的代表作品。对应正确。C项：蒲松龄，字留仙，清代文学家，其创作的《聊斋志异》是我国第一部个人创作的文言短篇小说集。对应正确。</w:t>
      </w:r>
    </w:p>
    <w:p w14:paraId="6B675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随着科学技术的发展和社会问题的不断出现，对利用生物医学技术来辅助和加速人类道德提升的呼吁不断增多。但是，无论通过技术手段还是传统道德教育来促进道德进步，其最终目的都是促进个人发展，实现人类社会的幸福最大化。因此，对技术带来的挑战和风险需要谨慎评估，——地前行。</w:t>
      </w:r>
    </w:p>
    <w:p w14:paraId="165FE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填入画横线部分最恰当的一项是（）</w:t>
      </w:r>
    </w:p>
    <w:p w14:paraId="3EB74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A.义无反顾 </w:t>
      </w:r>
    </w:p>
    <w:p w14:paraId="407C9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B.如履薄冰</w:t>
      </w:r>
    </w:p>
    <w:p w14:paraId="7D9DC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C.亦步亦趋 </w:t>
      </w:r>
    </w:p>
    <w:p w14:paraId="6D560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D.瞻前顾后</w:t>
      </w:r>
    </w:p>
    <w:p w14:paraId="05B01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2.B【山香讲师解析】分析语境，横线处所填词语应与前面的“谨慎”构成同义并列，强调利用科学技术时要小心谨慎。B项，“如履薄冰”形容非常谨慎、小心翼翼的样子，当选。</w:t>
      </w:r>
    </w:p>
    <w:p w14:paraId="159D60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干扰项】A项，“义无反顾”指在道义上只有勇往直前，绝对不能退缩回头。C项，“亦步亦趋”比喻自己没有主张，或为了讨好，每件事都效仿或依从别人，跟着人家行事。A、C两项不符合文意，排除。D项，“瞻前顾后”形容做事以前考虑周密谨慎，也形容顾虑过多，犹豫不决。两个词均有“小心谨慎”之意，但“瞻前顾后”表意上更侧重于犹豫不决且感情色彩偏消极，与之相比，“如履薄冰”更贴合文意。</w:t>
      </w:r>
    </w:p>
    <w:p w14:paraId="1B7DAF13">
      <w:pPr>
        <w:rPr>
          <w:rFonts w:hint="default" w:ascii="Times New Roman" w:hAnsi="Times New Roman" w:cs="Times New Roman" w:eastAsiaTheme="minorEastAsia"/>
        </w:rPr>
      </w:pPr>
      <w:r>
        <w:rPr>
          <w:rFonts w:hint="eastAsia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</w:rPr>
        <w:t>两块一样重的由铜和锌做成的合金，一块合金中铜与锌的质量比是3∶2，另一块合金中铜与锌的质量比是1∶3，现将两块合金合成一块，新合成的合金中铜与锌的质量比是多少（）</w:t>
      </w:r>
    </w:p>
    <w:p w14:paraId="4AE5AE27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A.17 ∶23</w:t>
      </w:r>
    </w:p>
    <w:p w14:paraId="044CA1B2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B.23 ∶17</w:t>
      </w:r>
    </w:p>
    <w:p w14:paraId="6191360E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C.5 ∶4</w:t>
      </w:r>
    </w:p>
    <w:p w14:paraId="7A944D5C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D.4 ∶5</w:t>
      </w:r>
    </w:p>
    <w:p w14:paraId="7A751B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</w:rPr>
        <w:t>A</w:t>
      </w:r>
      <w:r>
        <w:rPr>
          <w:rFonts w:hint="eastAsia"/>
          <w:lang w:val="en-US"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赋这两块一样重的合金的质量均为20（5和4的最小公倍数）。则两块合金中铜的质量为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20</m:t>
        </m:r>
        <m:r>
          <m:rPr/>
          <w:rPr>
            <w:rFonts w:hint="eastAsia" w:ascii="Cambria Math" w:hAnsi="Cambria Math" w:cstheme="minorBidi"/>
            <w:kern w:val="2"/>
            <w:sz w:val="21"/>
            <w:szCs w:val="24"/>
            <w:lang w:val="en-US" w:eastAsia="zh-CN" w:bidi="ar-SA"/>
          </w:rPr>
          <m:t>×</m:t>
        </m:r>
        <m:f>
          <m:fP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3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3+2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+20</m:t>
        </m:r>
        <m:r>
          <m:rPr/>
          <w:rPr>
            <w:rFonts w:hint="eastAsia" w:ascii="Cambria Math" w:hAnsi="Cambria Math" w:cstheme="minorBidi"/>
            <w:kern w:val="2"/>
            <w:sz w:val="21"/>
            <w:szCs w:val="24"/>
            <w:lang w:val="en-US" w:eastAsia="zh-CN" w:bidi="ar-SA"/>
          </w:rPr>
          <m:t>×</m:t>
        </m:r>
        <m:f>
          <m:fP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1+3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</w:rPr>
        <w:t>=12+5=17，锌的质量为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20</m:t>
        </m:r>
        <m:r>
          <m:rPr/>
          <w:rPr>
            <w:rFonts w:hint="eastAsia" w:ascii="Cambria Math" w:hAnsi="Cambria Math" w:cstheme="minorBidi"/>
            <w:kern w:val="2"/>
            <w:sz w:val="21"/>
            <w:szCs w:val="24"/>
            <w:lang w:val="en-US" w:eastAsia="zh-CN" w:bidi="ar-SA"/>
          </w:rPr>
          <m:t>×</m:t>
        </m:r>
        <m:f>
          <m:fP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3+2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+20</m:t>
        </m:r>
        <m:r>
          <m:rPr/>
          <w:rPr>
            <w:rFonts w:hint="eastAsia" w:ascii="Cambria Math" w:hAnsi="Cambria Math" w:cstheme="minorBidi"/>
            <w:kern w:val="2"/>
            <w:sz w:val="21"/>
            <w:szCs w:val="24"/>
            <w:lang w:val="en-US" w:eastAsia="zh-CN" w:bidi="ar-SA"/>
          </w:rPr>
          <m:t>×</m:t>
        </m:r>
        <m:f>
          <m:fP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1+3</m:t>
            </m:r>
            <m:ctrlPr>
              <w:rPr>
                <w:rFonts w:hint="eastAsia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</w:rPr>
        <w:t>=8+15=23。故新合成的合金中铜与锌的质量比是17∶23，本题选A。</w:t>
      </w:r>
    </w:p>
    <w:p w14:paraId="71388329">
      <w:pPr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从所给的四个选项中，选择最合适的一个填入问号处，使之呈现一定的规律性（）</w:t>
      </w:r>
    </w:p>
    <w:p w14:paraId="6B2E9AB3">
      <w:pPr>
        <w:jc w:val="center"/>
      </w:pPr>
      <w:bookmarkStart w:id="0" w:name="_GoBack"/>
      <w:r>
        <w:drawing>
          <wp:inline distT="0" distB="0" distL="114300" distR="114300">
            <wp:extent cx="2756535" cy="2971800"/>
            <wp:effectExtent l="0" t="0" r="571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162B8A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2DDE92C2">
      <w:pPr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B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图形元素组成相同，优先考虑位置规律。九宫格优先横看。第一行中，第1个图形顺时针旋转90°得到第2个图形，第2个图形上下翻转得到第3个图形。第二行验证规律，符合。第三行运用规律，第2个图形上下翻转得到问号处图形，只有B项符合。故本题选B。</w:t>
      </w:r>
    </w:p>
    <w:p w14:paraId="0A7F2F83">
      <w:pPr>
        <w:rPr>
          <w:rFonts w:hint="default"/>
          <w:lang w:val="en-US" w:eastAsia="zh-CN"/>
        </w:rPr>
      </w:pPr>
    </w:p>
    <w:p w14:paraId="22A96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5.“新课程倡导的教育回归生活就是指学校课程生活化。”</w:t>
      </w:r>
    </w:p>
    <w:p w14:paraId="50238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请对此观点作出判断和分析。</w:t>
      </w:r>
    </w:p>
    <w:p w14:paraId="5F107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要求：判断准确，观点明确，条理清晰，字数不超过250字。</w:t>
      </w:r>
    </w:p>
    <w:p w14:paraId="023FB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5.【山香讲师解析】答题思路判断：观点错误。</w:t>
      </w:r>
    </w:p>
    <w:p w14:paraId="137A0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理论：教育回归生活的内涵。</w:t>
      </w:r>
    </w:p>
    <w:p w14:paraId="4D735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分析：学校课程生活化仅是教育回归生活的一部分，忽略了教育回归生活对教育观念更新、教学方式变革等全方位要求。</w:t>
      </w:r>
    </w:p>
    <w:p w14:paraId="6E6C2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结论：将教育回归生活等同于学校课程生活化是错误的，忽视了教育回归生活的丰富内涵。</w:t>
      </w:r>
    </w:p>
    <w:p w14:paraId="38E03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73F3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（1）题干中的观点是错误的。</w:t>
      </w:r>
    </w:p>
    <w:p w14:paraId="122FB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（2）教育回归生活的本质是承认并尊重生命的存在及其成长的需要，为学生创造一个真正属于他们的、能够激发生命活力的现实环境。</w:t>
      </w:r>
    </w:p>
    <w:p w14:paraId="11EAC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课程生活化，不是指课程只承载生活技能，不是将课程当作生活事件的堆积。课程生活化的本质是通过课程，使学生真正处在一个自己的需要、兴趣、潜能可能得到充分发挥的世界里，使学生的生命更具活力，得到更有力地成长。</w:t>
      </w:r>
    </w:p>
    <w:p w14:paraId="25AFC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（3）综上所述，学校课程生活化的内涵小于教育回归生活，二者不能等同。</w:t>
      </w:r>
    </w:p>
    <w:p w14:paraId="617D3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（214字）</w:t>
      </w:r>
    </w:p>
    <w:p w14:paraId="3A835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评分标准明确指出题干观点错误（30%）；</w:t>
      </w:r>
    </w:p>
    <w:p w14:paraId="47172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说明学校课程生活化只是教育回归生活的一部分，不能等同（50%）；</w:t>
      </w:r>
    </w:p>
    <w:p w14:paraId="74D60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语言规范、条理清晰、逻辑连贯（20%）。</w:t>
      </w:r>
    </w:p>
    <w:p w14:paraId="0F751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2026-01-13T02:42:52Z</dcterms:created>
  <dc:creator>123</dc:creator>
  <cp:lastModifiedBy>WPS_1677572160</cp:lastModifiedBy>
  <dcterms:modified xsi:type="dcterms:W3CDTF">2026-01-13T02:43:30Z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1AE96DBE021A457BA38E11609871E573_12</vt:lpwstr>
  </property>
</Properties>
</file>