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年温州市鹿城区事业单位公开招聘工作人员面试工作有关规程如下：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bookmarkStart w:id="0" w:name="_Toc13473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一、面试时间和地点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日（星期六）。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面试地点：温州市南浦实验中学锦江校区（温州市鹿城区锦江路666号）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bookmarkStart w:id="1" w:name="_Toc18069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二、入场</w:t>
      </w:r>
      <w:bookmarkEnd w:id="1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Cs w:val="32"/>
          <w:highlight w:val="none"/>
          <w:lang w:eastAsia="zh-CN"/>
        </w:rPr>
      </w:pPr>
      <w:bookmarkStart w:id="2" w:name="_Toc16081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上午7:15开始面试考点开放，考生开始进入考点，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考生进场须出示身份证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《面试通知书》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三、面试考生分组原则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按照公平、公正的原则，报考同一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的考生由同一组面试考官面试，使用同一套面试卷，在同一时段内完成。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bookmarkStart w:id="3" w:name="_Toc29255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四、面试测评小组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组建若干个面试测评小组。每个测评小组由11人组成，面试考官为7人，其中主考官1人；工作人员为4人，其中计分员、核分员、引导员、管理员各1人。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bookmarkStart w:id="4" w:name="_Toc20498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五、面试形式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采用结构化面试的形式。面试成绩满分为100分，低于60分者为不合格。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六、候考室考生面试流程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面试点设立面试室和候考室，面试室与候考室对应关系通过抽签决定。面试流程如下：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考生携带有效期内的身份证和《面试通知书》，按规定的时间和地点到面试点候考室报到，报到后不得擅自离开候考室，如需上洗手间应报告，由专人带往。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2、核实身份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由管理员核对面试考生有效期内的身份证、《面试通知书》。考生将所携带的所有通讯工具交管理员集中保管，并接受金属检测仪检查。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（1）抽取岗位顺序号。同一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各岗位由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笔试总成绩排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第一位的考生作为代表抽取岗位顺序号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，填入《面试考生抽签结果登记表》，并签名确认。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（2）抽取面试顺序号。按岗位顺序依次分段对同一岗位的所有考生(按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笔试总成绩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排序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:woUserID w:val="1"/>
        </w:rPr>
        <w:t>如遇同分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"/>
        </w:rPr>
        <w:t>姓名拼音排序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)进行抽签，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抽取面试顺序号，填入《面试考生抽签结果登记表》，并签名确认。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（3）抽取面试室号。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由各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 w:bidi="ar"/>
        </w:rPr>
        <w:t>候考室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考生代表（面试顺序号为1号的考生）抽取对应的面试室号。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按面试顺序号由引导员引导考生去面试室面试，引导员只向面试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通报考生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面试顺序号，不报姓名。面试由主考官主持，每个考生面试时间为15分钟。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5、面试成绩计算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考生面试结束，各考官根据考生表现进行评分。去掉一个最高分和一个最低分，取其余分数的平均分即为考生的面试最后得分（保留小数点后二位数）。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6、公布分数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考生面试结束后，在已面试考生席等候，待下一位考生面试结束后，由主考官当场宣布上一位考生的面试成绩，考生得知分数、核实姓名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签字确认并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离开面试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，以此类推。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TBiNGU0YTVhYmMxZWJlMWM4NWE1ZDVhZjJjZmMifQ=="/>
  </w:docVars>
  <w:rsids>
    <w:rsidRoot w:val="6AE27E3C"/>
    <w:rsid w:val="1CA60FE9"/>
    <w:rsid w:val="211F6AC8"/>
    <w:rsid w:val="272F4070"/>
    <w:rsid w:val="2E880519"/>
    <w:rsid w:val="2FCF04E1"/>
    <w:rsid w:val="3FBFEAA1"/>
    <w:rsid w:val="43CF26EE"/>
    <w:rsid w:val="46D9365E"/>
    <w:rsid w:val="47DF12BB"/>
    <w:rsid w:val="49AB775A"/>
    <w:rsid w:val="4B1B5D4F"/>
    <w:rsid w:val="4CEB1848"/>
    <w:rsid w:val="4DE7415E"/>
    <w:rsid w:val="566D1AD1"/>
    <w:rsid w:val="5CB44049"/>
    <w:rsid w:val="619E1943"/>
    <w:rsid w:val="6AE27E3C"/>
    <w:rsid w:val="6FA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Body Text"/>
    <w:basedOn w:val="1"/>
    <w:next w:val="2"/>
    <w:qFormat/>
    <w:uiPriority w:val="99"/>
    <w:rPr>
      <w:sz w:val="32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微软雅黑" w:hAnsi="微软雅黑" w:eastAsia="微软雅黑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3</Pages>
  <Words>944</Words>
  <Characters>961</Characters>
  <Lines>0</Lines>
  <Paragraphs>0</Paragraphs>
  <TotalTime>6</TotalTime>
  <ScaleCrop>false</ScaleCrop>
  <LinksUpToDate>false</LinksUpToDate>
  <CharactersWithSpaces>961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2022-06-22T11:18:00Z</dcterms:created>
  <dc:creator>叶侨武</dc:creator>
  <cp:lastModifiedBy>呱呱</cp:lastModifiedBy>
  <dcterms:modified xsi:type="dcterms:W3CDTF">2025-06-04T08:46:03Z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3B8EF86A016F4F8DA435D868D8F55371_13</vt:lpwstr>
  </property>
  <property fmtid="{D5CDD505-2E9C-101B-9397-08002B2CF9AE}" pid="4" name="KSOTemplateDocerSaveRecord">
    <vt:lpwstr>eyJoZGlkIjoiNTg5ZTBiNGU0YTVhYmMxZWJlMWM4NWE1ZDVhZjJjZmMiLCJ1c2VySWQiOiIyNDY3MjQ3MTAifQ==</vt:lpwstr>
  </property>
</Properties>
</file>